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56C" w:rsidRDefault="00A7256C" w:rsidP="009940B6">
      <w:pPr>
        <w:shd w:val="clear" w:color="auto" w:fill="FFFFFF"/>
        <w:spacing w:after="0" w:line="2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val="uk-UA" w:eastAsia="ru-RU"/>
        </w:rPr>
      </w:pPr>
      <w:r w:rsidRPr="00A7256C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Наказ № 366: нова </w:t>
      </w:r>
      <w:proofErr w:type="spellStart"/>
      <w:r w:rsidRPr="00A7256C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редакція</w:t>
      </w:r>
      <w:proofErr w:type="spellEnd"/>
      <w:r w:rsidRPr="00A7256C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форми</w:t>
      </w:r>
      <w:proofErr w:type="spellEnd"/>
      <w:r w:rsidRPr="00A7256C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Розрахунку</w:t>
      </w:r>
      <w:proofErr w:type="spellEnd"/>
      <w:r w:rsidRPr="00A7256C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частини</w:t>
      </w:r>
      <w:proofErr w:type="spellEnd"/>
      <w:r w:rsidRPr="00A7256C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чистого </w:t>
      </w:r>
      <w:proofErr w:type="spellStart"/>
      <w:r w:rsidRPr="00A7256C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прибутку</w:t>
      </w:r>
      <w:proofErr w:type="spellEnd"/>
      <w:r w:rsidRPr="00A7256C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(доходу), </w:t>
      </w:r>
      <w:proofErr w:type="spellStart"/>
      <w:r w:rsidRPr="00A7256C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дивіденді</w:t>
      </w:r>
      <w:proofErr w:type="gramStart"/>
      <w:r w:rsidRPr="00A7256C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в</w:t>
      </w:r>
      <w:proofErr w:type="spellEnd"/>
      <w:proofErr w:type="gramEnd"/>
      <w:r w:rsidRPr="00A7256C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на </w:t>
      </w:r>
      <w:proofErr w:type="spellStart"/>
      <w:r w:rsidRPr="00A7256C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державну</w:t>
      </w:r>
      <w:proofErr w:type="spellEnd"/>
      <w:r w:rsidRPr="00A7256C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частку</w:t>
      </w:r>
      <w:proofErr w:type="spellEnd"/>
    </w:p>
    <w:p w:rsidR="009940B6" w:rsidRPr="00A7256C" w:rsidRDefault="009940B6" w:rsidP="009940B6">
      <w:pPr>
        <w:shd w:val="clear" w:color="auto" w:fill="FFFFFF"/>
        <w:spacing w:after="0" w:line="2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val="uk-UA" w:eastAsia="ru-RU"/>
        </w:rPr>
      </w:pPr>
    </w:p>
    <w:p w:rsidR="00A7256C" w:rsidRPr="00A7256C" w:rsidRDefault="00A7256C" w:rsidP="0028169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bookmarkStart w:id="0" w:name="_GoBack"/>
      <w:r w:rsidRPr="009940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Відділ комунікацій з громадськістю управління інформаційної взаємодії Головного управління ДПС у Дніпропетровській області</w:t>
      </w:r>
      <w:r w:rsidR="00281690" w:rsidRPr="002816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(територія обслуговування – </w:t>
      </w:r>
      <w:proofErr w:type="spellStart"/>
      <w:r w:rsidR="00281690" w:rsidRPr="002816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Павлоградський</w:t>
      </w:r>
      <w:proofErr w:type="spellEnd"/>
      <w:r w:rsidR="00281690" w:rsidRPr="002816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регіон)</w:t>
      </w:r>
      <w:r w:rsidR="002816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A725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9940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нагадує, що 08.09.2023 набрав чинності наказ Міністерства фінансів України від 04.07.2023 № 366 «Про внесення змін до форми Розрахунку частини чистого прибутку (доходу), дивідендів на державну частку», зареєстрований у Міністерстві юстиції України 20.07.2023 за № 1226/40282 (зі змінами, внесеними наказом Міністерства фінансів України від 27.07.2023 № 408 «Про внесення змін до форми Розрахунку частини чистого прибутку (доходу), дивідендів на державну частку», зареєстрованим у Міністерстві юстиції України 31 липня 2023 року за № 1280/40336) (далі – наказ № 366), яким викладено у новій редакції форму Розрахунку частини чистого прибутку (доходу), дивідендів на державну частку (Розрахунок).</w:t>
      </w:r>
    </w:p>
    <w:p w:rsidR="00A7256C" w:rsidRPr="00A7256C" w:rsidRDefault="00A7256C" w:rsidP="0028169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gram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метою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приведення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Розрахунку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відповідність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положень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законів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13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липня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2021 року № 1630-IX «Про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особливості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реформування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підприємств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оборонно-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промислового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комплексу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державної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власності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далі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Закон № 1630),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01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грудня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2022 року № 2792-IX «Про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внесення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змін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деяких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законодавчих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актів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щодо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підвищення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ефективності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суб’єктів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державного сектору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економіки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далі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Закон № 2792) та постанови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Кабінету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</w:t>
      </w:r>
      <w:proofErr w:type="gram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</w:t>
      </w:r>
      <w:proofErr w:type="gram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ів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14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липня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2021 року № 718 «Про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внесення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зміни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пункту 1 Порядку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відрахування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державного бюджету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частини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чистого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прибутку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(доходу)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державними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унітарними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підприємствами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їх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об’єднаннями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далі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Постанова № 718) форма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доповнюється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додатковими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відмітками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полях 9 та 10.</w:t>
      </w:r>
    </w:p>
    <w:p w:rsidR="00A7256C" w:rsidRPr="00A7256C" w:rsidRDefault="00A7256C" w:rsidP="0028169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gram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метою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приведення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відповідність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Закону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16 листопада 2022 року     № 2761-IX «Про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внесення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зміни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статті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 Закону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«Про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управління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об’єктами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End w:id="0"/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державної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власності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викладається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новій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редакції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рядок 02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Розрахунку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«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Кошти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спрямовуються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виконання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інвестиційних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стратегічних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планів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затверджених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Кабінетом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</w:t>
      </w:r>
      <w:proofErr w:type="gram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</w:t>
      </w:r>
      <w:proofErr w:type="gram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ів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та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обсяг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повернення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кредитних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коштів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були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запозичені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фінансування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капітальних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вкладень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будівництво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реконструкцію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модернізацію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об’єктів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</w:t>
      </w:r>
      <w:proofErr w:type="spellStart"/>
      <w:proofErr w:type="gram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Слід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відмітити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рядок 02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заповнюється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господарськими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товариствами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енергетичної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галузі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єдиним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акціонером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яких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є держава, а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також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господарськими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товариствами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енергетичної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галузі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100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відсотків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акцій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часток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яких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знаходяться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статутних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капіталах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господарських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товариств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акціонером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яких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є держава і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володіє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них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контрольним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пакетом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акцій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A7256C" w:rsidRPr="00A7256C" w:rsidRDefault="00A7256C" w:rsidP="00A7256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виконання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положень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законів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1630 та № 2792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викладено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</w:t>
      </w:r>
      <w:proofErr w:type="gram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ій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редакції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рядок 03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Розрахунку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якому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зазначається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загальна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сума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прибутку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(доходу), яка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складається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суми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рядка 03.1 + рядка 03.2 + рядка 03.3.</w:t>
      </w:r>
    </w:p>
    <w:p w:rsidR="00A7256C" w:rsidRPr="00A7256C" w:rsidRDefault="00A7256C" w:rsidP="00A7256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</w:t>
      </w:r>
      <w:proofErr w:type="gram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того,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Постановою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718 (набрала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чинності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липня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2021 року) внесено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зміни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пункту 1 Порядку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відрахування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державного бюджету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частини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чистого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прибутку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(доходу)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державними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унітарними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підприємствами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їхніми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об’єднаннями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затвердженого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постановою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Кабінету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Міністрів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23 лютого 2011 року № 138,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якими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передбачено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зменшення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80 до 50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відсотків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нормативу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відрахування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частини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чистого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прибутку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(доходу) до державного бюджету для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державних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лісогосподарських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лісозахисних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інших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ідприємств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належать до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сфери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управління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Державного агентства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лісових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ресурсів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умови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спрямування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ними 30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відсотків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чистого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прибутку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(доходу) на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цілі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визначені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Постановою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718.</w:t>
      </w:r>
    </w:p>
    <w:p w:rsidR="00A7256C" w:rsidRPr="00A7256C" w:rsidRDefault="00A7256C" w:rsidP="00A7256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gram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метою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надання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платникам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можливості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коригування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обрахунку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показників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зв’язку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зі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зміною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законом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Кабінетом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Міністрів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базового нормативу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відрахування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державного бюджету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частини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чистого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прибутку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(доходу)/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дивідендів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державну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частку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посеред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звітного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податкового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року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після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встановленого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терміну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подання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контролюючих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органів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Розрахунку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відповідний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звітний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податковий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proofErr w:type="gram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ік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форму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Розрахунку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доповнено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новими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блоками, а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саме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7256C" w:rsidRPr="00A7256C" w:rsidRDefault="00A7256C" w:rsidP="00A7256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Блок «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Коригування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proofErr w:type="gram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пов’язан</w:t>
      </w:r>
      <w:proofErr w:type="gram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зі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зміною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нормативу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відрахування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(рядки 14 – 16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Розрахунку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A7256C" w:rsidRPr="00A7256C" w:rsidRDefault="00A7256C" w:rsidP="00A7256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Блок «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Інформація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щодо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використання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вивільнених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кошті</w:t>
      </w:r>
      <w:proofErr w:type="gram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spellEnd"/>
      <w:proofErr w:type="gram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A7256C" w:rsidRPr="00A7256C" w:rsidRDefault="00A7256C" w:rsidP="00A7256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Блок «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Інформація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щодо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напрямів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використання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вивільнених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кошті</w:t>
      </w:r>
      <w:proofErr w:type="gram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spellEnd"/>
      <w:proofErr w:type="gram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A7256C" w:rsidRPr="00A7256C" w:rsidRDefault="00A7256C" w:rsidP="00A7256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Блок «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Інформація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щодо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законодавчих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ідстав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застосування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зниженого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нормативу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відрахування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звільнення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сплати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зменшення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бази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відрахування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)».</w:t>
      </w:r>
    </w:p>
    <w:p w:rsidR="00A7256C" w:rsidRPr="00A7256C" w:rsidRDefault="00A7256C" w:rsidP="00A7256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</w:t>
      </w:r>
      <w:proofErr w:type="gram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того,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відзначаємо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блок «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Виправлення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помилки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)» (рядки 17 – 21)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нової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Розрахунку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доповнено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новим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рядком 18,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який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дозволяє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платникам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виправляти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помилки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були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допущені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коригуванні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пов’язаному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зі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зміною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нормативу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відрахування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7256C" w:rsidRPr="00A7256C" w:rsidRDefault="00A7256C" w:rsidP="00A7256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Також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зазначаємо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форма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Розрахунку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доповнена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полем «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Наявність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додатків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у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якому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проставляється</w:t>
      </w:r>
      <w:proofErr w:type="spellEnd"/>
      <w:proofErr w:type="gram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позначка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«+» у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разі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подання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Додатка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ВП до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рядків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17 – 20, 22 – 22.1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Розрахунку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частини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чистого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прибутку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(доходу),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дивідендів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державну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частку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7256C" w:rsidRPr="00A7256C" w:rsidRDefault="00A7256C" w:rsidP="00A7256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Аналогічні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зміни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має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Додаток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ВП до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рядків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17 – 20, 22 – 22.1 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Розрахунку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7256C" w:rsidRPr="00A7256C" w:rsidRDefault="00A7256C" w:rsidP="00A7256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Згідно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пунктом 46.6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статті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46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глави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розділу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ІІ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Податкового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кодексу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далі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ПКУ),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якщо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результаті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зміни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оподаткування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змінюються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податкової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звітності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до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визначення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нових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декларацій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розрахунків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набирають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чинності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складання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звітності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податковий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період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настає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податковим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періодом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якому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відбулося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їхн</w:t>
      </w:r>
      <w:proofErr w:type="gram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є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оприлюднення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є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чинними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декларацій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розрахунків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чинні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такого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визначення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7256C" w:rsidRPr="00A7256C" w:rsidRDefault="00A7256C" w:rsidP="00A7256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Враховуючи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наведене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те,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згідно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пунктами 49.18, 49.19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статті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49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глави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розділу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ІІ ПКУ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податковим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звітним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періодом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платників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дивідендів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нарахованих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державну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частку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є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календарний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ік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для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платників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частини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чистого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прибутку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(доходу) –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календарний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квартал,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півріччя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три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квартали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рік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також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метою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забезпечення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декларування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частини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чистого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прибутку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(доходу) та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дивідендів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державну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частку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Розрахунок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формою,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затвердженою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наказом № 366 (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зі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змінами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має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подаватись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proofErr w:type="gram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ідсумками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2023 року у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терміни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встановлені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ПКУ. При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цьому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платники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дивіденді</w:t>
      </w:r>
      <w:proofErr w:type="gram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spellEnd"/>
      <w:proofErr w:type="gram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державну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частку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можуть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подавати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уточнюючий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Розрахунок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новою формою з 01.01.2024.</w:t>
      </w:r>
    </w:p>
    <w:p w:rsidR="00A7256C" w:rsidRPr="00A7256C" w:rsidRDefault="00A7256C" w:rsidP="00A7256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Детально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зі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змінами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внесеними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наказом № 366,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можливо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ознайомитись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листі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ДПС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(ДПС)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18.09.2023 № 23127/7/99-00-21-02-01-07,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розміщений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вебпорталі</w:t>
      </w:r>
      <w:proofErr w:type="spellEnd"/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ДПС за посиланням </w:t>
      </w:r>
      <w:hyperlink r:id="rId6" w:history="1">
        <w:r w:rsidRPr="00A7256C">
          <w:rPr>
            <w:rFonts w:ascii="Times New Roman" w:eastAsia="Times New Roman" w:hAnsi="Times New Roman" w:cs="Times New Roman"/>
            <w:color w:val="2D5CA6"/>
            <w:sz w:val="24"/>
            <w:szCs w:val="24"/>
            <w:bdr w:val="none" w:sz="0" w:space="0" w:color="auto" w:frame="1"/>
            <w:lang w:eastAsia="ru-RU"/>
          </w:rPr>
          <w:t>https://tax.gov.ua/zakonodavstvo/podatkove-zakonodavstvo/listi-dps/78424.html</w:t>
        </w:r>
      </w:hyperlink>
      <w:r w:rsidRPr="00A72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.</w:t>
      </w:r>
    </w:p>
    <w:p w:rsidR="00BA4C3B" w:rsidRPr="00A7256C" w:rsidRDefault="00BA4C3B" w:rsidP="00A7256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BA4C3B" w:rsidRPr="00A72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9448DF"/>
    <w:multiLevelType w:val="multilevel"/>
    <w:tmpl w:val="ABF2D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56C"/>
    <w:rsid w:val="00281690"/>
    <w:rsid w:val="009940B6"/>
    <w:rsid w:val="00A7256C"/>
    <w:rsid w:val="00BA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2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25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2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25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4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6347">
          <w:marLeft w:val="0"/>
          <w:marRight w:val="0"/>
          <w:marTop w:val="0"/>
          <w:marBottom w:val="900"/>
          <w:divBdr>
            <w:top w:val="none" w:sz="0" w:space="31" w:color="auto"/>
            <w:left w:val="none" w:sz="0" w:space="0" w:color="auto"/>
            <w:bottom w:val="single" w:sz="6" w:space="23" w:color="C2C5CB"/>
            <w:right w:val="none" w:sz="0" w:space="0" w:color="auto"/>
          </w:divBdr>
          <w:divsChild>
            <w:div w:id="1886796423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8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82381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ax.gov.ua/zakonodavstvo/podatkove-zakonodavstvo/listi-dps/78424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</cp:revision>
  <dcterms:created xsi:type="dcterms:W3CDTF">2023-10-06T09:03:00Z</dcterms:created>
  <dcterms:modified xsi:type="dcterms:W3CDTF">2023-10-06T09:03:00Z</dcterms:modified>
</cp:coreProperties>
</file>