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04" w:rsidRPr="00973C04" w:rsidRDefault="00973C04" w:rsidP="00973C04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Закон № 3813: </w:t>
      </w:r>
      <w:proofErr w:type="spellStart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особливості</w:t>
      </w:r>
      <w:proofErr w:type="spellEnd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адм</w:t>
      </w:r>
      <w:proofErr w:type="gramEnd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іністрування</w:t>
      </w:r>
      <w:proofErr w:type="spellEnd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під</w:t>
      </w:r>
      <w:proofErr w:type="spellEnd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час </w:t>
      </w:r>
      <w:proofErr w:type="spellStart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воєнного</w:t>
      </w:r>
      <w:proofErr w:type="spellEnd"/>
      <w:r w:rsidRPr="00973C0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стану</w:t>
      </w:r>
    </w:p>
    <w:p w:rsidR="00973C04" w:rsidRPr="00973C04" w:rsidRDefault="00973C04" w:rsidP="00973C04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</w:p>
    <w:p w:rsidR="00973C04" w:rsidRPr="00973C04" w:rsidRDefault="00973C04" w:rsidP="00973C04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856AD3" wp14:editId="425FFADE">
            <wp:extent cx="1353600" cy="871200"/>
            <wp:effectExtent l="0" t="0" r="0" b="5715"/>
            <wp:docPr id="1" name="Рисунок 1" descr="https://dp.tax.gov.ua/data/material/000/733/861406/678e10e38a4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33/861406/678e10e38a49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89" cy="87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C04" w:rsidRPr="00973C04" w:rsidRDefault="00973C04" w:rsidP="00973C0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Відділ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комунікацій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громадськістю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інформаційної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взаємодії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Головного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ДПС у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Дніпропетровській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територія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обслуговування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Павлоградський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регіон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нагаду</w:t>
      </w:r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року № 3813-IX «Про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особливостей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іністрування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для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високим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рівнем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добровільного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Закон № 3813) внесено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ПКУ).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69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10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 «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Перехідні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ПКУ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69.41,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в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Указом Президента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в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лютого 2022 року № 64/2022,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лютого 2022 року № 2102-IX «Про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Указу Президента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в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та по 31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року, в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воєнний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 буде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припинено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скасовано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високим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івнем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добровільного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встановлюються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адміністрування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контролюючими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визначеними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41.1.1 п. 41.1 ст. 41 ПКУ (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іністрування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69.41 п. 69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10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ХХ «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Перехідні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ПКУ.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Головною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новацією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 № 3813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високим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івнем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добровільного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іністрування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ідтримка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комплаєнс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-менеджер: за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платником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закріплюється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ДПС (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комплаєнс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-менеджер), з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зможе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взаємодіяти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відеоконференції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ДПС не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розпочинаються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ірки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ліцензування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виключно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потреб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промислової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переробки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позапланові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перевірок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проводяться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виключно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проводяться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підпунктами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78.1.1 і 78.1.2 в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контролю за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трансфертним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ціноутворенням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78.1.3, 78.1.5, 78.1.7, 78.1.8, 78.1.9, 78.1.12, 78.1.14, 78.1.15, 78.1.16, 78.1.19, 78.1.21 та 78.1.22 п. 78.1 ст. 78 ПКУ;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ідчить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платником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валютного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граничних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імпортними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операціями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валютної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виручки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експортними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операціями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ідакцизної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азартних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ігор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гральний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платіжні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</w:t>
      </w:r>
      <w:bookmarkStart w:id="0" w:name="_GoBack"/>
      <w:bookmarkEnd w:id="0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документальні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перевірок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підакцизної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азартних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ігор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гральний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платіжні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перевірок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скорочено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строки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камеральної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документальної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перевірок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цілях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відшкодування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ПДВ – до 5 та 10 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ідповідно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консультацій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отримуватимуть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індивідуальні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консультації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календарних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запит 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п’ятиденний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строк: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п’ятиденний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 на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запит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отримати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свідчити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консультацію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високим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івнем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добровільного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затверджений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07.10.2024 № 495.</w:t>
      </w:r>
    </w:p>
    <w:p w:rsidR="00973C04" w:rsidRPr="00973C04" w:rsidRDefault="00973C04" w:rsidP="00973C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роз’яснення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Інформаційному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7/2024 «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Запровадження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високим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івнем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добровільного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розміщеному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вебпорталі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ДПС: Головна/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Пресцентр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Новини</w:t>
      </w:r>
      <w:proofErr w:type="spellEnd"/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6" w:history="1">
        <w:r w:rsidRPr="00973C04">
          <w:rPr>
            <w:rFonts w:ascii="Times New Roman" w:eastAsia="Times New Roman" w:hAnsi="Times New Roman" w:cs="Times New Roman"/>
            <w:color w:val="234161"/>
            <w:sz w:val="24"/>
            <w:szCs w:val="24"/>
            <w:bdr w:val="none" w:sz="0" w:space="0" w:color="auto" w:frame="1"/>
            <w:lang w:eastAsia="ru-RU"/>
          </w:rPr>
          <w:t>https://www.tax.gov.ua/media-tsentr/novini/844510.html</w:t>
        </w:r>
      </w:hyperlink>
      <w:r w:rsidRPr="00973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65128" w:rsidRPr="00973C04" w:rsidRDefault="00565128" w:rsidP="00973C0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73C04" w:rsidRPr="00973C04" w:rsidRDefault="00973C0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73C04" w:rsidRPr="0097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04"/>
    <w:rsid w:val="00565128"/>
    <w:rsid w:val="009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9879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06236933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416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ax.gov.ua/media-tsentr/novini/844510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2025-01-20T10:26:00Z</dcterms:created>
  <dcterms:modified xsi:type="dcterms:W3CDTF">2025-01-20T10:32:00Z</dcterms:modified>
</cp:coreProperties>
</file>